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center"/>
      </w:pPr>
      <w:r>
        <w:rPr>
          <w:b/>
          <w:i w:val="0"/>
          <w:sz w:val="38"/>
        </w:rPr>
        <w:t>Daniel Yarmoluk</w:t>
      </w:r>
    </w:p>
    <w:p>
      <w:pPr>
        <w:spacing w:after="20" w:before="0"/>
        <w:jc w:val="center"/>
      </w:pPr>
      <w:r>
        <w:rPr>
          <w:b/>
          <w:i w:val="0"/>
          <w:sz w:val="21"/>
        </w:rPr>
        <w:t>AI Infrastructure Engineer | Model Context Protocol (MCP) | Agent-to-Agent (A2A) Systems | Knowledge Graphs</w:t>
      </w:r>
    </w:p>
    <w:p>
      <w:pPr>
        <w:spacing w:after="0" w:before="0"/>
        <w:jc w:val="center"/>
      </w:pPr>
      <w:r>
        <w:rPr>
          <w:b w:val="0"/>
          <w:i w:val="0"/>
          <w:sz w:val="19"/>
        </w:rPr>
        <w:t>Minneapolis, MN | daniel.yarmoluk@gmail.com</w:t>
      </w:r>
    </w:p>
    <w:p>
      <w:pPr>
        <w:spacing w:after="40" w:before="0"/>
        <w:jc w:val="center"/>
      </w:pPr>
      <w:r>
        <w:rPr>
          <w:b w:val="0"/>
          <w:i w:val="0"/>
          <w:sz w:val="19"/>
        </w:rPr>
        <w:t>linkedin.com/in/danyarmoluk | github.com/Yarmoluk | pypi.org/user/danyarm | huggingface.co/danyarm | graphifymd.com</w:t>
      </w:r>
    </w:p>
    <w:p>
      <w:pPr>
        <w:spacing w:after="40" w:before="180"/>
      </w:pPr>
      <w:r>
        <w:rPr>
          <w:b/>
          <w:i w:val="0"/>
          <w:sz w:val="22"/>
        </w:rPr>
        <w:t>PROFESSIONAL SUMMARY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AI infrastructure engineer who designs, builds, ships, operates and monetizes production Model Context Protocol (MCP) servers end to end. Author of 12 published Python packages on PyPI and 6 live MCP services running in production, covering the full protocol surface: JSON-RPC initialize handshake, tool schema design and output validation, streamable HTTP and Server-Sent Events (SSE) transport, session management, DNS-rebinding transport security, per-method metering, HTTP 402 payment rails, and MCP-native observability. Also builds on Agent-to-Agent (A2A) protocol, Google Agent Development Kit (ADK), x402 agent payments, and ERC-8004 agent identity. Creator of the Compressed Knowledge Graph (CKG), a typed declared-edge knowledge layer with SHA-256 per-node source provenance, benchmarked against Retrieval-Augmented Generation (RAG) and GraphRAG across 44 domains and 7,758 queries. Patent pending. Adjunct professor of graduate AI systems. 15+ years enterprise architecture across healthcare, retail, supply chain and industrial IoT.</w:t>
      </w:r>
    </w:p>
    <w:p>
      <w:pPr>
        <w:spacing w:after="40" w:before="180"/>
      </w:pPr>
      <w:r>
        <w:rPr>
          <w:b/>
          <w:i w:val="0"/>
          <w:sz w:val="22"/>
        </w:rPr>
        <w:t>TECHNICAL SKILLS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Model Context Protocol (MCP): MCP server design and implementation; FastMCP; JSON-RPC 2.0; initialize handshake and clientInfo negotiation; tools/list, tools/call, resources/list, prompts/list; notifications/initialized; tool input and output schema design and validation; streamable HTTP transport; Server-Sent Events (SSE); Mcp-Session-Id session management; DNS-rebinding protection and Host allow-listing; MCP client integration (Claude Desktop, Claude Code, Cursor); MCP server registries and directory distribution; MCP analytics instrumentation.</w:t>
      </w:r>
    </w:p>
    <w:p>
      <w:pPr>
        <w:spacing w:after="40" w:before="0"/>
      </w:pPr>
      <w:r>
        <w:rPr>
          <w:b w:val="0"/>
          <w:i w:val="0"/>
          <w:sz w:val="20"/>
        </w:rPr>
        <w:t>Agent Distribution and Discovery: MCP server publication and registry distribution; A2A agent card authoring (/.well-known/agent-card.json) with machine-readable capability, pricing and payment extensions; MCP server cards; public MCP registry listing; discovery-document design for automated agent consumption; client identification via the MCP initialize handshake; Python packaging and release engineering (12 packages, 100+ PyPI releases).</w:t>
      </w:r>
    </w:p>
    <w:p>
      <w:pPr>
        <w:spacing w:after="40" w:before="0"/>
      </w:pPr>
      <w:r>
        <w:rPr>
          <w:b w:val="0"/>
          <w:i w:val="0"/>
          <w:sz w:val="20"/>
        </w:rPr>
        <w:t>Agent-to-Agent (A2A) and Agent Protocols: A2A (Agent-to-Agent) protocol v1.0; agent cards, capability advertisement and skill declaration; agent discovery and negotiation; Google Agent Development Kit (ADK); x402 / HTTP 402 machine-payable APIs; EIP-3009 signed payment authorizations; Coinbase Developer Platform (CDP) facilitator; Base network settlement; ERC-8004 agent identity and trust; multi-agent orchestration; LangGraph; LangChain; AutoGen; CrewAI.</w:t>
      </w:r>
    </w:p>
    <w:p>
      <w:pPr>
        <w:spacing w:after="40" w:before="0"/>
      </w:pPr>
      <w:r>
        <w:rPr>
          <w:b w:val="0"/>
          <w:i w:val="0"/>
          <w:sz w:val="20"/>
        </w:rPr>
        <w:t>Generative AI, Agents and Orchestration: Agentic AI architecture; autonomous agent design; multi-agent orchestration; agent-to-agent coordination; reasoning, planning and autonomous decision-making loops; tool and function calling; prompt engineering and context engineering; LangChain; LangGraph; AutoGen; CrewAI; Anthropic Claude; OpenAI; Azure OpenAI Service; Microsoft Azure AI; Microsoft Semantic Kernel; Google Gemini; xAI Grok; Perplexity; open-source models (Llama, Nemotron, Hugging Face); Claude Code (authored 84 skills, subagents, hooks and MCP integrations); agent governance, monitoring, latency and cost optimization.</w:t>
      </w:r>
    </w:p>
    <w:p>
      <w:pPr>
        <w:spacing w:after="40" w:before="0"/>
      </w:pPr>
      <w:r>
        <w:rPr>
          <w:b w:val="0"/>
          <w:i w:val="0"/>
          <w:sz w:val="20"/>
        </w:rPr>
        <w:t>Agent Harness and Runtime Engineering: Agent harness architecture — the runtime layer between a model and everything it acts on. Tool registration, discovery and lifecycle; tool and output schema design with validation at the boundary; context assembly and task-scoped context injection; multi-step orchestration and worker dispatch; capability and skill registries (84 authored, versioned, trigger-scoped skills); guardrails, entitlement gating, rate limiting and quota enforcement; retry, fallback and failure isolation; harness observability and structured telemetry; behavioral and retrieval evaluation harnesses; AgenticOps practice — versioning of prompts, models, tools and memory, automated testing before deploy, and rollback of agent capability.</w:t>
      </w:r>
    </w:p>
    <w:p>
      <w:pPr>
        <w:spacing w:after="40" w:before="0"/>
      </w:pPr>
      <w:r>
        <w:rPr>
          <w:b w:val="0"/>
          <w:i w:val="0"/>
          <w:sz w:val="20"/>
        </w:rPr>
        <w:t>AI Governance, Risk and Assurance: Enterprise AI governance frameworks and standards; model risk management; model explainability and auditability; bias evaluation and mitigation; Responsible AI policy; production-readiness gates; regulatory, security and data-privacy compliance in regulated environments (HIPAA); AI technical due diligence for vendor, partnership and acquisition assessment; enterprise AI strategy definition; build-versus-buy evaluation across cost, performance, scalability and risk; reference architectures, design patterns and best practice documentation; internal AI fluency, talent development and enablement programs; emerging technology monitoring and competitive implications; regulatory, security and data privacy compliance; trade-off analysis across cost, performance, scalability and risk.</w:t>
      </w:r>
    </w:p>
    <w:p>
      <w:pPr>
        <w:spacing w:after="40" w:before="0"/>
      </w:pPr>
      <w:r>
        <w:rPr>
          <w:b w:val="0"/>
          <w:i w:val="0"/>
          <w:sz w:val="20"/>
        </w:rPr>
        <w:t>Enterprise Data Architecture and Lineage: Data governance; data lineage and provenance; access control and entitlement; data quality and availability for AI and machine learning initiatives; structured and unstructured data in AI systems; content-addressed source provenance (SHA-256 per node) with deterministic staleness detection; metadata and catalog platforms (DataHub, Microsoft Purview).</w:t>
      </w:r>
    </w:p>
    <w:p>
      <w:pPr>
        <w:spacing w:after="40" w:before="0"/>
      </w:pPr>
      <w:r>
        <w:rPr>
          <w:b w:val="0"/>
          <w:i w:val="0"/>
          <w:sz w:val="20"/>
        </w:rPr>
        <w:t>Cloud AI Platforms: Azure OpenAI Service and Microsoft Azure AI; AWS SageMaker and AWS Bedrock; Google Vertex AI and Gemini; model selection frameworks and pragmatic build-versus-buy recommendations assessed on latency, cost, compliance fit and roadmap direction; inference cost modelling and optimization.</w:t>
      </w:r>
    </w:p>
    <w:p>
      <w:pPr>
        <w:spacing w:after="40" w:before="0"/>
      </w:pPr>
      <w:r>
        <w:rPr>
          <w:b w:val="0"/>
          <w:i w:val="0"/>
          <w:sz w:val="20"/>
        </w:rPr>
        <w:t>AI Evaluation and Benchmarking: Retrieval evaluation harness design; macro-F1, precision/recall, hop-depth degradation, token and cost-per-query measurement; LLM-as-judge scoring; independent third-party benchmark evaluation (FrontierFinance, Samaya Research — 220 queries, 11,543 rubric items, judge panel); comparative benchmarking of knowledge-graph retrieval against RAG and GraphRAG; published open dataset and reproducible harness.</w:t>
      </w:r>
    </w:p>
    <w:p>
      <w:pPr>
        <w:spacing w:after="40" w:before="0"/>
      </w:pPr>
      <w:r>
        <w:rPr>
          <w:b w:val="0"/>
          <w:i w:val="0"/>
          <w:sz w:val="20"/>
        </w:rPr>
        <w:t>Retrieval-Augmented Generation (RAG) and Vector Search: RAG pipeline design, implementation and evaluation; vector databases and vector search (FAISS, Chroma); sentence-transformers embeddings (all-MiniLM-L6, all-mpnet); chunking strategies; top-k retrieval; hybrid and reranked retrieval; GraphRAG; comparative retrieval benchmarking against a typed knowledge graph.</w:t>
      </w:r>
    </w:p>
    <w:p>
      <w:pPr>
        <w:spacing w:after="40" w:before="0"/>
      </w:pPr>
      <w:r>
        <w:rPr>
          <w:b w:val="0"/>
          <w:i w:val="0"/>
          <w:sz w:val="20"/>
        </w:rPr>
        <w:t>Knowledge Graphs and Retrieval: Knowledge retrieval for enterprise applications; knowledge graph construction and ontology design; typed declared edges; conjunctive (set-intersection) graph queries; multi-hop traversal; taxonomy design; SHA-256 content-addressed source provenance; canonical-text hashing; retrieval evaluation (macro-F1, hop-depth degradation, token cost); RAG, GraphRAG, and vector retrieval comparison; Neo4j and Cypher concepts; SPARQL concepts.</w:t>
      </w:r>
    </w:p>
    <w:p>
      <w:pPr>
        <w:spacing w:after="40" w:before="0"/>
      </w:pPr>
      <w:r>
        <w:rPr>
          <w:b w:val="0"/>
          <w:i w:val="0"/>
          <w:sz w:val="20"/>
        </w:rPr>
        <w:t>Full-Stack Web and Interfaces: Production JavaScript on both sides of the stack. Backend: serverless functions on Vercel — a JSON-RPC Model Context Protocol server implemented in JavaScript (initialize, tools/list, tools/call, API-key validation), a Stripe webhook handler with signature verification, license validation and graph-serving endpoints. Frontend: multi-page production sites deployed and live, with hand-written interactive graph visualizations — canvas and SVG rendering, requestAnimationFrame animation loops, drag, zoom, hover and selection state built directly rather than through a charting library. Responsive layout, CSS custom properties, light/dark theming, accessible semantic markup.</w:t>
      </w:r>
    </w:p>
    <w:p>
      <w:pPr>
        <w:spacing w:after="40" w:before="0"/>
      </w:pPr>
      <w:r>
        <w:rPr>
          <w:b w:val="0"/>
          <w:i w:val="0"/>
          <w:sz w:val="20"/>
        </w:rPr>
        <w:t>Languages, Platforms and Tooling: Python; JavaScript; HTML; CSS; SQL; asyncio; Starlette; FastAPI; Docker; Git; GitHub Actions; REST API design; microservices architecture; CI/CD pipelines (GitHub Actions, automated Docker image build and publish); OAuth and API key authentication; rate limiting and quota enforcement; secure and scalable service deployment; Amazon Web Services (AWS); Microsoft Azure; Google Cloud Platform (GCP); Vercel; Render; Snowflake; Databricks; Anthropic Claude API; OpenAI API; PostHog product analytics; Stripe; pytest.</w:t>
      </w:r>
    </w:p>
    <w:p>
      <w:pPr>
        <w:spacing w:after="40" w:before="180"/>
      </w:pPr>
      <w:r>
        <w:rPr>
          <w:b/>
          <w:i w:val="0"/>
          <w:sz w:val="22"/>
        </w:rPr>
        <w:t>PROFESSIONAL EXPERIENCE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0" w:before="120"/>
      </w:pPr>
      <w:r>
        <w:rPr>
          <w:b/>
          <w:i w:val="0"/>
          <w:sz w:val="20"/>
        </w:rPr>
        <w:t>Graphify.md — Minneapolis, MN</w:t>
      </w:r>
    </w:p>
    <w:p>
      <w:pPr>
        <w:spacing w:after="40" w:before="0"/>
      </w:pPr>
      <w:r>
        <w:rPr>
          <w:b w:val="0"/>
          <w:i/>
          <w:sz w:val="20"/>
        </w:rPr>
        <w:t>Founder and Principal Engineer, AI Infrastructure | 04/2026 – Present</w:t>
      </w:r>
    </w:p>
    <w:p>
      <w:pPr>
        <w:spacing w:after="30"/>
        <w:ind w:left="259" w:hanging="259"/>
      </w:pPr>
      <w:r>
        <w:rPr>
          <w:sz w:val="20"/>
        </w:rPr>
        <w:t>- Designed, built, deployed and operated 6 production Model Context Protocol (MCP) servers serving typed knowledge graphs to AI agents, and published 12 Python packages to PyPI across 100+ releases — owning the complete lifecycle from protocol design through incident response. All of it built solo, first package published within weeks of starting.</w:t>
      </w:r>
    </w:p>
    <w:p>
      <w:pPr>
        <w:spacing w:after="30"/>
        <w:ind w:left="259" w:hanging="259"/>
      </w:pPr>
      <w:r>
        <w:rPr>
          <w:sz w:val="20"/>
        </w:rPr>
        <w:t>- Implemented the full MCP protocol surface in Python: JSON-RPC 2.0 initialize handshake with clientInfo and protocolVersion negotiation, tools/list, tools/call, resources/list, prompts/list, and notifications, with tool input and output schema validation.</w:t>
      </w:r>
    </w:p>
    <w:p>
      <w:pPr>
        <w:spacing w:after="30"/>
        <w:ind w:left="259" w:hanging="259"/>
      </w:pPr>
      <w:r>
        <w:rPr>
          <w:sz w:val="20"/>
        </w:rPr>
        <w:t>- Diagnosed and fixed a production transport defect where every external MCP client received HTTP 421 Misdirected Request: DNS-rebinding protection remained active with an empty host allow-list behind a reverse proxy, rejecting all traffic before it reached a tool. Implemented explicit transport security settings with configurable allowed hosts.</w:t>
      </w:r>
    </w:p>
    <w:p>
      <w:pPr>
        <w:spacing w:after="30"/>
        <w:ind w:left="259" w:hanging="259"/>
      </w:pPr>
      <w:r>
        <w:rPr>
          <w:sz w:val="20"/>
        </w:rPr>
        <w:t>- Built the metering and monetization layer for MCP: classified protocol methods as metered versus unmetered so the three-request handshake no longer consumed a client's entire free tier, implemented time-windowed free access with a call ceiling, per-IP and per-/24-subnet rate limiting, license key validation, and HTTP 402 Payment Required responses with signed payment challenges.</w:t>
      </w:r>
    </w:p>
    <w:p>
      <w:pPr>
        <w:spacing w:after="30"/>
        <w:ind w:left="259" w:hanging="259"/>
      </w:pPr>
      <w:r>
        <w:rPr>
          <w:sz w:val="20"/>
        </w:rPr>
        <w:t>- Instrumented MCP servers with product analytics using PostHog's MCP event schema — capturing tool calls, client identity from the initialize handshake, latency, errors and funnel conversion — and corrected three instrumentation defects that had made usage unattributable to any caller.</w:t>
      </w:r>
    </w:p>
    <w:p>
      <w:pPr>
        <w:spacing w:after="30"/>
        <w:ind w:left="259" w:hanging="259"/>
      </w:pPr>
      <w:r>
        <w:rPr>
          <w:sz w:val="20"/>
        </w:rPr>
        <w:t>- Implemented Agent-to-Agent (A2A) and machine-payment integrations: x402 / HTTP 402 request flow with EIP-3009 signed authorizations, Coinbase Developer Platform facilitator authentication, Base network settlement, and ERC-8004 agent identity — and documented the honest limitation that no mainnet facilitator existed for the required scheme.</w:t>
      </w:r>
    </w:p>
    <w:p>
      <w:pPr>
        <w:spacing w:after="30"/>
        <w:ind w:left="259" w:hanging="259"/>
      </w:pPr>
      <w:r>
        <w:rPr>
          <w:sz w:val="20"/>
        </w:rPr>
        <w:t>- Built a conjunctive query operator for knowledge graphs exposed as a single MCP tool — returning concepts reachable from every anchor as an exact set intersection over declared edges, with typed relation paths, AND/OR modes, and a per-step cardinality trace that makes retrieval auditable.</w:t>
      </w:r>
    </w:p>
    <w:p>
      <w:pPr>
        <w:spacing w:after="30"/>
        <w:ind w:left="259" w:hanging="259"/>
      </w:pPr>
      <w:r>
        <w:rPr>
          <w:sz w:val="20"/>
        </w:rPr>
        <w:t>- Designed a SHA-256 per-node source provenance system so any answer can be traced to the exact bytes of its source, including canonical-text hashing for CDN-rendered documents whose raw bytes carry rotating build tokens, and a verification tool that reports honestly when a source cannot be independently verified.</w:t>
      </w:r>
    </w:p>
    <w:p>
      <w:pPr>
        <w:spacing w:after="30"/>
        <w:ind w:left="259" w:hanging="259"/>
      </w:pPr>
      <w:r>
        <w:rPr>
          <w:sz w:val="20"/>
        </w:rPr>
        <w:t>- Benchmarked Compressed Knowledge Graph retrieval against RAG and Microsoft GraphRAG across 44 domains and 7,758 queries: macro-F1 0.471 versus 0.123 (RAG) and 0.120 (GraphRAG), a 3.8x improvement; 269 versus 2,982 tokens per query, an 11x reduction; multi-hop F1 rising to 0.772 at 5 hops while RAG remained flat near 0.17. Published the dataset and harness openly.</w:t>
      </w:r>
    </w:p>
    <w:p>
      <w:pPr>
        <w:spacing w:after="30"/>
        <w:ind w:left="259" w:hanging="259"/>
      </w:pPr>
      <w:r>
        <w:rPr>
          <w:sz w:val="20"/>
        </w:rPr>
        <w:t>- Built AI evaluation infrastructure: a reproducible retrieval-evaluation harness plus an independent evaluation against FrontierFinance, Samaya Research's open finance benchmark (220 queries, 11,543 rubric items, LLM judge panel) — evaluating against a third-party rubric rather than only a self-authored one.</w:t>
      </w:r>
    </w:p>
    <w:p>
      <w:pPr>
        <w:spacing w:after="30"/>
        <w:ind w:left="259" w:hanging="259"/>
      </w:pPr>
      <w:r>
        <w:rPr>
          <w:sz w:val="20"/>
        </w:rPr>
        <w:t>- Authored and maintained 300+ domain knowledge graphs with typed relations and per-node source provenance across healthcare, financial regulation, data engineering, and AI infrastructure.</w:t>
      </w:r>
    </w:p>
    <w:p>
      <w:pPr>
        <w:spacing w:after="30"/>
        <w:ind w:left="259" w:hanging="259"/>
      </w:pPr>
      <w:r>
        <w:rPr>
          <w:sz w:val="20"/>
        </w:rPr>
        <w:t>- Patent pending — three provisional applications filed 2026 covering knowledge graph architecture, encoding pipeline, and context infrastructure.</w:t>
      </w:r>
    </w:p>
    <w:p>
      <w:pPr>
        <w:spacing w:after="0" w:before="120"/>
      </w:pPr>
      <w:r>
        <w:rPr>
          <w:b/>
          <w:i w:val="0"/>
          <w:sz w:val="20"/>
        </w:rPr>
        <w:t>Slalom Consulting — Minneapolis, MN</w:t>
      </w:r>
    </w:p>
    <w:p>
      <w:pPr>
        <w:spacing w:after="40" w:before="0"/>
      </w:pPr>
      <w:r>
        <w:rPr>
          <w:b w:val="0"/>
          <w:i/>
          <w:sz w:val="20"/>
        </w:rPr>
        <w:t>Principal — Solution Owner, AI and Digital Transformation | 09/2023 – 04/2026</w:t>
      </w:r>
    </w:p>
    <w:p>
      <w:pPr>
        <w:spacing w:after="30"/>
        <w:ind w:left="259" w:hanging="259"/>
      </w:pPr>
      <w:r>
        <w:rPr>
          <w:sz w:val="20"/>
        </w:rPr>
        <w:t>- Architected enterprise AI and digital transformation programs for Fortune 500 clients including UnitedHealthcare (clinical AI pipelines), Best Buy (retail AI), and Cargill (supply chain AI).</w:t>
      </w:r>
    </w:p>
    <w:p>
      <w:pPr>
        <w:spacing w:after="30"/>
        <w:ind w:left="259" w:hanging="259"/>
      </w:pPr>
      <w:r>
        <w:rPr>
          <w:sz w:val="20"/>
        </w:rPr>
        <w:t>- Led cross-functional AI delivery across engineering, data science and business stakeholders, translating strategy into production system architecture and deployment roadmaps.</w:t>
      </w:r>
    </w:p>
    <w:p>
      <w:pPr>
        <w:spacing w:after="30"/>
        <w:ind w:left="259" w:hanging="259"/>
      </w:pPr>
      <w:r>
        <w:rPr>
          <w:sz w:val="20"/>
        </w:rPr>
        <w:t>- Designed AI workflow orchestration and agent coordination patterns for enterprise deployment, including production readiness, monitoring and evaluation frameworks for regulated environments.</w:t>
      </w:r>
    </w:p>
    <w:p>
      <w:pPr>
        <w:spacing w:after="30"/>
        <w:ind w:left="259" w:hanging="259"/>
      </w:pPr>
      <w:r>
        <w:rPr>
          <w:sz w:val="20"/>
        </w:rPr>
        <w:t>- Managed technical vendor relationships and platform integration across Anthropic, OpenAI, Azure OpenAI Service on Microsoft Azure AI, and AWS SageMaker — owning technical due diligence and build-versus-buy recommendations assessed on latency, cost, compliance fit and roadmap.</w:t>
      </w:r>
    </w:p>
    <w:p>
      <w:pPr>
        <w:spacing w:after="30"/>
        <w:ind w:left="259" w:hanging="259"/>
      </w:pPr>
      <w:r>
        <w:rPr>
          <w:sz w:val="20"/>
        </w:rPr>
        <w:t>- Operated inside complex, matrixed professional services organizations serving financial services, healthcare and regulated clients — able to influence architecture decisions across business lines without direct authority, and to translate strategic priorities into actionable architecture decisions with measurable business impact. Recognized internally as a technical authority and thought leader on enterprise AI.</w:t>
      </w:r>
    </w:p>
    <w:p>
      <w:pPr>
        <w:spacing w:after="0" w:before="120"/>
      </w:pPr>
      <w:r>
        <w:rPr>
          <w:b/>
          <w:i w:val="0"/>
          <w:sz w:val="20"/>
        </w:rPr>
        <w:t>West Monroe Partners — Minneapolis, MN</w:t>
      </w:r>
    </w:p>
    <w:p>
      <w:pPr>
        <w:spacing w:after="40" w:before="0"/>
      </w:pPr>
      <w:r>
        <w:rPr>
          <w:b w:val="0"/>
          <w:i/>
          <w:sz w:val="20"/>
        </w:rPr>
        <w:t>Lead Solution Architect, Industrial IoT and Commercial AI | 2021 – 2023</w:t>
      </w:r>
    </w:p>
    <w:p>
      <w:pPr>
        <w:spacing w:after="30"/>
        <w:ind w:left="259" w:hanging="259"/>
      </w:pPr>
      <w:r>
        <w:rPr>
          <w:sz w:val="20"/>
        </w:rPr>
        <w:t>- Led AI and Internet of Things (IoT) architecture for industrial and commercial clients: production machine learning pipelines, real-time data systems, and multi-system orchestration.</w:t>
      </w:r>
    </w:p>
    <w:p>
      <w:pPr>
        <w:spacing w:after="30"/>
        <w:ind w:left="259" w:hanging="259"/>
      </w:pPr>
      <w:r>
        <w:rPr>
          <w:sz w:val="20"/>
        </w:rPr>
        <w:t>- Designed production deployment architecture for AI systems in operational environments, covering reliability, monitoring and performance under load.</w:t>
      </w:r>
    </w:p>
    <w:p>
      <w:pPr>
        <w:spacing w:after="0" w:before="120"/>
      </w:pPr>
      <w:r>
        <w:rPr>
          <w:b/>
          <w:i w:val="0"/>
          <w:sz w:val="20"/>
        </w:rPr>
        <w:t>ATEK Access Technologies — Minneapolis, MN</w:t>
      </w:r>
    </w:p>
    <w:p>
      <w:pPr>
        <w:spacing w:after="40" w:before="0"/>
      </w:pPr>
      <w:r>
        <w:rPr>
          <w:b w:val="0"/>
          <w:i/>
          <w:sz w:val="20"/>
        </w:rPr>
        <w:t>IoT and Data Science Practice Leader | 2016 – 2020</w:t>
      </w:r>
    </w:p>
    <w:p>
      <w:pPr>
        <w:spacing w:after="30"/>
        <w:ind w:left="259" w:hanging="259"/>
      </w:pPr>
      <w:r>
        <w:rPr>
          <w:sz w:val="20"/>
        </w:rPr>
        <w:t>- Built the data science and IoT practice from zero, including AWS, Siemens and IBM strategic partnerships and production machine learning deployment in industrial field operations.</w:t>
      </w:r>
    </w:p>
    <w:p>
      <w:pPr>
        <w:spacing w:after="30"/>
        <w:ind w:left="259" w:hanging="259"/>
      </w:pPr>
      <w:r>
        <w:rPr>
          <w:sz w:val="20"/>
        </w:rPr>
        <w:t>- Led sensor data orchestration across distributed field devices, including real-time data pipeline design and system integration architecture.</w:t>
      </w:r>
    </w:p>
    <w:p>
      <w:pPr>
        <w:spacing w:after="0" w:before="120"/>
      </w:pPr>
      <w:r>
        <w:rPr>
          <w:b/>
          <w:i w:val="0"/>
          <w:sz w:val="20"/>
        </w:rPr>
        <w:t>University of St. Thomas — Minneapolis, MN</w:t>
      </w:r>
    </w:p>
    <w:p>
      <w:pPr>
        <w:spacing w:after="40" w:before="0"/>
      </w:pPr>
      <w:r>
        <w:rPr>
          <w:b w:val="0"/>
          <w:i/>
          <w:sz w:val="20"/>
        </w:rPr>
        <w:t>Adjunct Professor, Graduate AI Systems (SEIS 666) | 2018 – Present</w:t>
      </w:r>
    </w:p>
    <w:p>
      <w:pPr>
        <w:spacing w:after="30"/>
        <w:ind w:left="259" w:hanging="259"/>
      </w:pPr>
      <w:r>
        <w:rPr>
          <w:sz w:val="20"/>
        </w:rPr>
        <w:t>- Eight years accelerating large language model (LLM) and knowledge graph capability for senior product and engineering leaders. Students are practicing technology executives and staff-level engineers who apply the material directly to live production initiatives at their own companies.</w:t>
      </w:r>
    </w:p>
    <w:p>
      <w:pPr>
        <w:spacing w:after="30"/>
        <w:ind w:left="259" w:hanging="259"/>
      </w:pPr>
      <w:r>
        <w:rPr>
          <w:sz w:val="20"/>
        </w:rPr>
        <w:t>- Designed and continually rewrite graduate curriculum spanning production LLM systems, agent orchestration design, knowledge graph infrastructure, enterprise AI evaluation, and digital transformation — updated each term as the capability frontier moves.</w:t>
      </w:r>
    </w:p>
    <w:p>
      <w:pPr>
        <w:spacing w:after="30"/>
        <w:ind w:left="259" w:hanging="259"/>
      </w:pPr>
      <w:r>
        <w:rPr>
          <w:sz w:val="20"/>
        </w:rPr>
        <w:t>- Enterprise AI adoption and enablement at leadership level: technical upskilling of senior technologists, change management, and closing the gap between what a system can do and what an organization will actually put into production.</w:t>
      </w:r>
    </w:p>
    <w:p>
      <w:pPr>
        <w:spacing w:after="40" w:before="180"/>
      </w:pPr>
      <w:r>
        <w:rPr>
          <w:b/>
          <w:i w:val="0"/>
          <w:sz w:val="22"/>
        </w:rPr>
        <w:t>PUBLISHED MCP SERVER PORTFOLIO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12 Python packages published to the Python Package Index (PyPI) under user danyarm, spanning 100+ releases. Full catalog at github.com/Yarmoluk.</w:t>
      </w:r>
    </w:p>
    <w:p>
      <w:pPr>
        <w:spacing w:after="30"/>
        <w:ind w:left="259" w:hanging="259"/>
      </w:pPr>
      <w:r>
        <w:rPr>
          <w:sz w:val="20"/>
        </w:rPr>
        <w:t>- ckg-nvidia-ai — NVIDIA developer stack knowledge graphs (20 domains) served over MCP; 29 releases; includes metered free tier, license-key auth, and HTTP 402 payment challenge.</w:t>
      </w:r>
    </w:p>
    <w:p>
      <w:pPr>
        <w:spacing w:after="30"/>
        <w:ind w:left="259" w:hanging="259"/>
      </w:pPr>
      <w:r>
        <w:rPr>
          <w:sz w:val="20"/>
        </w:rPr>
        <w:t>- ckg-nvidia-nemoclaw — single-domain MCP server, 31 releases; typed relation traversal with per-node source provenance.</w:t>
      </w:r>
    </w:p>
    <w:p>
      <w:pPr>
        <w:spacing w:after="30"/>
        <w:ind w:left="259" w:hanging="259"/>
      </w:pPr>
      <w:r>
        <w:rPr>
          <w:sz w:val="20"/>
        </w:rPr>
        <w:t>- ckg-agentforce — Salesforce Agentforce domain graphs over MCP; 18 releases; license-gated tool surface.</w:t>
      </w:r>
    </w:p>
    <w:p>
      <w:pPr>
        <w:spacing w:after="30"/>
        <w:ind w:left="259" w:hanging="259"/>
      </w:pPr>
      <w:r>
        <w:rPr>
          <w:sz w:val="20"/>
        </w:rPr>
        <w:t>- ckg-mcp — multi-domain MCP server, 300+ knowledge graphs, conjunctive query operator, source-verification tool; 20 releases.</w:t>
      </w:r>
    </w:p>
    <w:p>
      <w:pPr>
        <w:spacing w:after="30"/>
        <w:ind w:left="259" w:hanging="259"/>
      </w:pPr>
      <w:r>
        <w:rPr>
          <w:sz w:val="20"/>
        </w:rPr>
        <w:t>- langchain-ckg — LangChain retriever integration with API-key auth and 402 handling.</w:t>
      </w:r>
    </w:p>
    <w:p>
      <w:pPr>
        <w:spacing w:after="30"/>
        <w:ind w:left="259" w:hanging="259"/>
      </w:pPr>
      <w:r>
        <w:rPr>
          <w:sz w:val="20"/>
        </w:rPr>
        <w:t>- Additional published packages: ckg-ai-platforms, ckg-nemotron-perplexity, ckg-agent-protocols, ckg-nvidia-nemotron, ckg-nvidia-guardrails, agentmem-mcp, ckg-extract.</w:t>
      </w:r>
    </w:p>
    <w:p>
      <w:pPr>
        <w:spacing w:after="40" w:before="180"/>
      </w:pPr>
      <w:r>
        <w:rPr>
          <w:b/>
          <w:i w:val="0"/>
          <w:sz w:val="22"/>
        </w:rPr>
        <w:t>BENCHMARK — PUBLISHED AND REPRODUCIBLE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Compressed Knowledge Graph versus Retrieval-Augmented Generation (RAG) and Microsoft GraphRAG. Version 0.6.2, locked: 44 domains, 7,758 queries. Dataset and evaluation harness published openly (CC-BY-4.0) so results can be independently re-run.</w:t>
      </w:r>
    </w:p>
    <w:p>
      <w:pPr>
        <w:spacing w:after="30"/>
        <w:ind w:left="259" w:hanging="259"/>
      </w:pPr>
      <w:r>
        <w:rPr>
          <w:sz w:val="20"/>
        </w:rPr>
        <w:t>- Answer quality: macro-F1 0.471 (CKG) versus 0.123 (RAG) and 0.120 (GraphRAG) — 3.8x.</w:t>
      </w:r>
    </w:p>
    <w:p>
      <w:pPr>
        <w:spacing w:after="30"/>
        <w:ind w:left="259" w:hanging="259"/>
      </w:pPr>
      <w:r>
        <w:rPr>
          <w:sz w:val="20"/>
        </w:rPr>
        <w:t>- Context efficiency: 269 versus 2,982 tokens per query — 11x fewer tokens.</w:t>
      </w:r>
    </w:p>
    <w:p>
      <w:pPr>
        <w:spacing w:after="30"/>
        <w:ind w:left="259" w:hanging="259"/>
      </w:pPr>
      <w:r>
        <w:rPr>
          <w:sz w:val="20"/>
        </w:rPr>
        <w:t>- Multi-hop reasoning: F1 rises to 0.772 at 5-hop depth while RAG stays flat near 0.170.</w:t>
      </w:r>
    </w:p>
    <w:p>
      <w:pPr>
        <w:spacing w:after="30"/>
        <w:ind w:left="259" w:hanging="259"/>
      </w:pPr>
      <w:r>
        <w:rPr>
          <w:sz w:val="20"/>
        </w:rPr>
        <w:t>- Auditability: every answer traces to a declared relationship and, where source provenance is present, to a SHA-256 hash of the source bytes.</w:t>
      </w:r>
    </w:p>
    <w:p>
      <w:pPr>
        <w:spacing w:after="30"/>
        <w:ind w:left="259" w:hanging="259"/>
      </w:pPr>
      <w:r>
        <w:rPr>
          <w:sz w:val="20"/>
        </w:rPr>
        <w:t>- Reproducibility: github.com/Yarmoluk/ckg-benchmark and huggingface.co/danyarm — clone and re-run.</w:t>
      </w:r>
    </w:p>
    <w:p>
      <w:pPr>
        <w:pageBreakBefore/>
        <w:spacing w:after="40" w:before="180"/>
      </w:pPr>
      <w:r>
        <w:rPr>
          <w:b/>
          <w:i w:val="0"/>
          <w:sz w:val="22"/>
        </w:rPr>
        <w:t>PUBLICATIONS AND RECOGNITION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Publication in preparation: a systematic benchmark of compressed knowledge graphs for enterprise AI, in collaboration with Dan McCreary, former Head of AI at TigerGraph.</w:t>
      </w:r>
    </w:p>
    <w:p>
      <w:pPr>
        <w:spacing w:after="30"/>
        <w:ind w:left="259" w:hanging="259"/>
      </w:pPr>
      <w:r>
        <w:rPr>
          <w:sz w:val="20"/>
        </w:rPr>
        <w:t>- Media: featured in CIO Dive on enterprise context limitations; guest on the AI and Data Horizons podcast; host of All Things Data (1M+ downloads). Benchmark cited independently at Data Tech 2026.</w:t>
      </w:r>
    </w:p>
    <w:p>
      <w:pPr>
        <w:spacing w:after="40" w:before="180"/>
      </w:pPr>
      <w:r>
        <w:rPr>
          <w:b/>
          <w:i w:val="0"/>
          <w:sz w:val="22"/>
        </w:rPr>
        <w:t>EDUCATION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Graduate Degree, Data Science — University of St. Thomas</w:t>
      </w:r>
    </w:p>
    <w:p>
      <w:pPr>
        <w:spacing w:after="30"/>
        <w:ind w:left="259" w:hanging="259"/>
      </w:pPr>
      <w:r>
        <w:rPr>
          <w:sz w:val="20"/>
        </w:rPr>
        <w:t>- Master of Business Administration — Loyola University Chicago</w:t>
      </w:r>
    </w:p>
    <w:p>
      <w:pPr>
        <w:spacing w:after="30"/>
        <w:ind w:left="259" w:hanging="259"/>
      </w:pPr>
      <w:r>
        <w:rPr>
          <w:sz w:val="20"/>
        </w:rPr>
        <w:t>- Bachelor of Arts, International Affairs — University of Texas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